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FD" w:rsidRDefault="008F63FD">
      <w:pPr>
        <w:rPr>
          <w:rFonts w:ascii="Arial" w:eastAsia="Arial" w:hAnsi="Arial" w:cs="Arial"/>
        </w:rPr>
      </w:pPr>
    </w:p>
    <w:p w:rsidR="006C0420" w:rsidRDefault="006C0420" w:rsidP="006C0420">
      <w:pPr>
        <w:pStyle w:val="NormalWeb"/>
        <w:spacing w:before="0" w:beforeAutospacing="0" w:after="0" w:afterAutospacing="0"/>
        <w:jc w:val="both"/>
      </w:pPr>
      <w:bookmarkStart w:id="0" w:name="_heading=h.gjdgxs" w:colFirst="0" w:colLast="0"/>
      <w:bookmarkEnd w:id="0"/>
      <w:r>
        <w:rPr>
          <w:b/>
          <w:bCs/>
          <w:color w:val="000000"/>
        </w:rPr>
        <w:t>PROJETO DE LEI Nº 0</w:t>
      </w:r>
      <w:r w:rsidR="00FB537D">
        <w:rPr>
          <w:b/>
          <w:bCs/>
          <w:color w:val="000000"/>
        </w:rPr>
        <w:t>5</w:t>
      </w:r>
      <w:r>
        <w:rPr>
          <w:b/>
          <w:bCs/>
          <w:color w:val="000000"/>
        </w:rPr>
        <w:t>/2021</w:t>
      </w:r>
    </w:p>
    <w:p w:rsidR="006C0420" w:rsidRDefault="006C0420" w:rsidP="006C042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AUTOR: Vereador Júnior Brasão</w:t>
      </w:r>
    </w:p>
    <w:p w:rsidR="006C0420" w:rsidRDefault="006C0420" w:rsidP="006C0420">
      <w:pPr>
        <w:spacing w:after="240"/>
      </w:pPr>
    </w:p>
    <w:p w:rsidR="006C0420" w:rsidRDefault="006C0420" w:rsidP="006C0420">
      <w:pPr>
        <w:pStyle w:val="NormalWeb"/>
        <w:spacing w:before="0" w:beforeAutospacing="0" w:after="0" w:afterAutospacing="0"/>
        <w:ind w:left="3834"/>
        <w:jc w:val="both"/>
      </w:pPr>
      <w:r>
        <w:rPr>
          <w:b/>
          <w:bCs/>
          <w:color w:val="000000"/>
        </w:rPr>
        <w:t>“</w:t>
      </w:r>
      <w:r>
        <w:rPr>
          <w:color w:val="000000"/>
        </w:rPr>
        <w:t xml:space="preserve">DISPÕE SOBRE A CRIAÇÃO DO </w:t>
      </w:r>
      <w:r w:rsidRPr="00FB537D">
        <w:rPr>
          <w:b/>
          <w:color w:val="000000"/>
        </w:rPr>
        <w:t>PROGAMA DE PROMOÇÃO DA DIGNIDADE MENSTRUAL</w:t>
      </w:r>
      <w:r w:rsidR="00FB537D">
        <w:rPr>
          <w:b/>
          <w:color w:val="000000"/>
        </w:rPr>
        <w:t xml:space="preserve">, </w:t>
      </w:r>
      <w:r>
        <w:rPr>
          <w:color w:val="000000"/>
        </w:rPr>
        <w:t>NO MUNI</w:t>
      </w:r>
      <w:r w:rsidR="00E2194F">
        <w:rPr>
          <w:color w:val="000000"/>
        </w:rPr>
        <w:t>CÍPIO DE PALMAS E DÁ</w:t>
      </w:r>
      <w:r w:rsidR="001C332C">
        <w:rPr>
          <w:color w:val="000000"/>
        </w:rPr>
        <w:t xml:space="preserve"> OUTRAS PROVIDÊNCIAS”</w:t>
      </w:r>
      <w:r>
        <w:rPr>
          <w:b/>
          <w:bCs/>
          <w:color w:val="000000"/>
        </w:rPr>
        <w:t>.</w:t>
      </w:r>
    </w:p>
    <w:p w:rsidR="006C0420" w:rsidRDefault="006C0420" w:rsidP="006C0420">
      <w:pPr>
        <w:spacing w:after="240"/>
      </w:pPr>
    </w:p>
    <w:p w:rsidR="00FB537D" w:rsidRDefault="00FB537D" w:rsidP="006C0420">
      <w:pPr>
        <w:spacing w:after="240"/>
      </w:pPr>
    </w:p>
    <w:p w:rsidR="00FB537D" w:rsidRDefault="00FB537D" w:rsidP="006C0420">
      <w:pPr>
        <w:spacing w:after="240"/>
      </w:pPr>
    </w:p>
    <w:p w:rsidR="006C0420" w:rsidRDefault="006C0420" w:rsidP="006C0420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CÂMARA MUNICIPAL DE PALMAS </w:t>
      </w:r>
      <w:r>
        <w:rPr>
          <w:color w:val="000000"/>
        </w:rPr>
        <w:t>Aprova: </w:t>
      </w:r>
    </w:p>
    <w:p w:rsidR="006C0420" w:rsidRDefault="006C0420" w:rsidP="006C0420">
      <w:pPr>
        <w:jc w:val="both"/>
      </w:pPr>
      <w:bookmarkStart w:id="1" w:name="_heading=h.1fob9te" w:colFirst="0" w:colLast="0"/>
      <w:bookmarkEnd w:id="1"/>
    </w:p>
    <w:p w:rsidR="00FB537D" w:rsidRDefault="00FB537D" w:rsidP="006C0420">
      <w:pPr>
        <w:jc w:val="both"/>
      </w:pPr>
    </w:p>
    <w:p w:rsidR="006C0420" w:rsidRPr="001C332C" w:rsidRDefault="006C0420" w:rsidP="00FB537D">
      <w:pPr>
        <w:spacing w:line="276" w:lineRule="auto"/>
        <w:ind w:left="851" w:hanging="143"/>
        <w:jc w:val="both"/>
      </w:pPr>
      <w:r w:rsidRPr="001C332C">
        <w:rPr>
          <w:b/>
        </w:rPr>
        <w:t>Art. 1 º</w:t>
      </w:r>
      <w:r w:rsidRPr="001C332C">
        <w:t>- Institui o Programa de Promoção da Dignidade Menstrual no Município de Palmas.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    </w:t>
      </w:r>
      <w:r w:rsidRPr="001C332C">
        <w:rPr>
          <w:b/>
        </w:rPr>
        <w:t>§ 1 º-</w:t>
      </w:r>
      <w:r w:rsidRPr="001C332C">
        <w:t xml:space="preserve"> O Programa de que trata esta Lei tem por objetivo promover a conscientização do Poder Público acerca da menstruação, assim como o acesso aos absorventes </w:t>
      </w:r>
      <w:r w:rsidR="00E2194F" w:rsidRPr="001C332C">
        <w:t>higiênicos</w:t>
      </w:r>
      <w:r w:rsidRPr="001C332C">
        <w:t xml:space="preserve"> femininos, como fator de redução da desigualdade social, e visa, em especial: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rPr>
          <w:b/>
        </w:rPr>
        <w:t xml:space="preserve">                    </w:t>
      </w:r>
      <w:r w:rsidR="00FB537D">
        <w:rPr>
          <w:b/>
        </w:rPr>
        <w:t xml:space="preserve">  I</w:t>
      </w:r>
      <w:r w:rsidRPr="001C332C">
        <w:rPr>
          <w:b/>
        </w:rPr>
        <w:t xml:space="preserve"> -</w:t>
      </w:r>
      <w:r w:rsidRPr="001C332C">
        <w:t xml:space="preserve"> combater a precariedade menstrual;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      </w:t>
      </w:r>
      <w:r w:rsidRPr="001C332C">
        <w:rPr>
          <w:b/>
        </w:rPr>
        <w:t>II -</w:t>
      </w:r>
      <w:r w:rsidRPr="001C332C">
        <w:t xml:space="preserve"> promover a atenção integral à saúde da mulher e aos cuidados básicos decorrentes da menstruação; 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    </w:t>
      </w:r>
      <w:r w:rsidRPr="001C332C">
        <w:rPr>
          <w:b/>
        </w:rPr>
        <w:t xml:space="preserve">  III</w:t>
      </w:r>
      <w:r w:rsidRPr="001C332C">
        <w:t xml:space="preserve"> - garantir a universalização do acesso, às mulheres</w:t>
      </w:r>
      <w:proofErr w:type="gramStart"/>
      <w:r w:rsidRPr="001C332C">
        <w:t xml:space="preserve">  </w:t>
      </w:r>
      <w:proofErr w:type="gramEnd"/>
      <w:r w:rsidRPr="001C332C">
        <w:t>pobres e extremamente pobres, aos absorventes higiênicos, durante o ciclo menstrual;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rPr>
          <w:b/>
        </w:rPr>
        <w:t xml:space="preserve">                      IV -</w:t>
      </w:r>
      <w:r w:rsidRPr="001C332C">
        <w:t xml:space="preserve"> combater a desinformação e tabu sobre a menstruação, com a ampliação do diálogo sobre o tema nas políticas, serviços públicos, na comunidade e nas famílias;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rPr>
          <w:b/>
        </w:rPr>
        <w:t xml:space="preserve">                      V -</w:t>
      </w:r>
      <w:r w:rsidRPr="001C332C">
        <w:t xml:space="preserve"> combater a desigualdade de gênero nas políticas públicas e no acesso à saúde, educação e assistência social: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     </w:t>
      </w:r>
      <w:r w:rsidRPr="001C332C">
        <w:rPr>
          <w:b/>
        </w:rPr>
        <w:t xml:space="preserve"> VI</w:t>
      </w:r>
      <w:r w:rsidRPr="001C332C">
        <w:t xml:space="preserve"> - reduzir </w:t>
      </w:r>
      <w:proofErr w:type="gramStart"/>
      <w:r w:rsidRPr="001C332C">
        <w:t>faltas em dias letivos, prejuízos</w:t>
      </w:r>
      <w:proofErr w:type="gramEnd"/>
      <w:r w:rsidRPr="001C332C">
        <w:t xml:space="preserve"> à aprendizagem e evasão escolar de estudantes em idade reprodutiva. 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</w:t>
      </w:r>
      <w:r w:rsidRPr="001C332C">
        <w:rPr>
          <w:b/>
        </w:rPr>
        <w:t>§ 2°-</w:t>
      </w:r>
      <w:r w:rsidRPr="001C332C">
        <w:t xml:space="preserve"> Para os efeitos desta Lei, compreende-se como pobreza menstrual um problema social causado por: 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      </w:t>
      </w:r>
      <w:r w:rsidRPr="001C332C">
        <w:rPr>
          <w:b/>
        </w:rPr>
        <w:t>I-</w:t>
      </w:r>
      <w:r w:rsidRPr="001C332C">
        <w:t xml:space="preserve"> extrema pobreza</w:t>
      </w:r>
      <w:proofErr w:type="gramStart"/>
      <w:r w:rsidR="00FB537D">
        <w:t>,</w:t>
      </w:r>
      <w:r w:rsidR="001C332C" w:rsidRPr="001C332C">
        <w:t xml:space="preserve"> falta</w:t>
      </w:r>
      <w:proofErr w:type="gramEnd"/>
      <w:r w:rsidRPr="001C332C">
        <w:t xml:space="preserve"> de acesso à água e saneamento básico: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rPr>
          <w:b/>
        </w:rPr>
        <w:t xml:space="preserve">                      II-</w:t>
      </w:r>
      <w:r w:rsidRPr="001C332C">
        <w:t xml:space="preserve"> situação precária ou inexistente de condições para acessar insumos de higiene básica.</w:t>
      </w:r>
    </w:p>
    <w:p w:rsidR="006C0420" w:rsidRPr="001C332C" w:rsidRDefault="006C0420" w:rsidP="006C0420">
      <w:pPr>
        <w:spacing w:line="276" w:lineRule="auto"/>
        <w:ind w:left="708"/>
        <w:jc w:val="both"/>
      </w:pPr>
      <w:r w:rsidRPr="001C332C">
        <w:t xml:space="preserve"> </w:t>
      </w:r>
      <w:r w:rsidRPr="001C332C">
        <w:rPr>
          <w:b/>
        </w:rPr>
        <w:t>Art. 2°-</w:t>
      </w:r>
      <w:r w:rsidRPr="001C332C">
        <w:t xml:space="preserve"> O Programa de Promoção da Dignidade Menstrual tem como objetivos específicos: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     </w:t>
      </w:r>
      <w:r w:rsidRPr="001C332C">
        <w:rPr>
          <w:b/>
        </w:rPr>
        <w:t xml:space="preserve"> </w:t>
      </w:r>
      <w:r w:rsidR="00FB537D">
        <w:rPr>
          <w:b/>
        </w:rPr>
        <w:t>I</w:t>
      </w:r>
      <w:r w:rsidRPr="001C332C">
        <w:rPr>
          <w:b/>
        </w:rPr>
        <w:t>-</w:t>
      </w:r>
      <w:r w:rsidRPr="001C332C">
        <w:t xml:space="preserve"> conscientizar a administração pública acerca da relevância em garantir às pessoas que </w:t>
      </w:r>
      <w:proofErr w:type="gramStart"/>
      <w:r w:rsidRPr="001C332C">
        <w:t>menstruam</w:t>
      </w:r>
      <w:proofErr w:type="gramEnd"/>
      <w:r w:rsidRPr="001C332C">
        <w:t xml:space="preserve"> o acesso a insumos de higiene menstrual; 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lastRenderedPageBreak/>
        <w:t xml:space="preserve">                     </w:t>
      </w:r>
      <w:r w:rsidRPr="001C332C">
        <w:rPr>
          <w:b/>
        </w:rPr>
        <w:t>II-</w:t>
      </w:r>
      <w:r w:rsidRPr="001C332C">
        <w:t xml:space="preserve"> promover a consolidação de políticas públicas que visem </w:t>
      </w:r>
      <w:proofErr w:type="gramStart"/>
      <w:r w:rsidRPr="001C332C">
        <w:t>a</w:t>
      </w:r>
      <w:proofErr w:type="gramEnd"/>
      <w:r w:rsidRPr="001C332C">
        <w:t xml:space="preserve"> equidade de gênero e a garantia dos direitos humanos.</w:t>
      </w:r>
    </w:p>
    <w:p w:rsidR="006C0420" w:rsidRPr="001C332C" w:rsidRDefault="006C0420" w:rsidP="006C0420">
      <w:pPr>
        <w:spacing w:line="276" w:lineRule="auto"/>
        <w:ind w:left="708"/>
        <w:jc w:val="both"/>
      </w:pPr>
      <w:r w:rsidRPr="001C332C">
        <w:t xml:space="preserve"> </w:t>
      </w:r>
      <w:r w:rsidRPr="001C332C">
        <w:rPr>
          <w:b/>
        </w:rPr>
        <w:t>Art. 3º-</w:t>
      </w:r>
      <w:r w:rsidRPr="001C332C">
        <w:t xml:space="preserve"> São considerados insumos para a higiene menstrual, para fins desta Lei: 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</w:t>
      </w:r>
      <w:r w:rsidR="001C332C">
        <w:t xml:space="preserve">  </w:t>
      </w:r>
      <w:r w:rsidRPr="001C332C">
        <w:t xml:space="preserve"> </w:t>
      </w:r>
      <w:r w:rsidR="001C332C">
        <w:rPr>
          <w:b/>
        </w:rPr>
        <w:t>I</w:t>
      </w:r>
      <w:r w:rsidRPr="001C332C">
        <w:rPr>
          <w:b/>
        </w:rPr>
        <w:t>-</w:t>
      </w:r>
      <w:r w:rsidRPr="001C332C">
        <w:t xml:space="preserve"> absorvente descartável;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rPr>
          <w:b/>
        </w:rPr>
        <w:t xml:space="preserve">               </w:t>
      </w:r>
      <w:r w:rsidR="001C332C">
        <w:rPr>
          <w:b/>
        </w:rPr>
        <w:t xml:space="preserve">  </w:t>
      </w:r>
      <w:r w:rsidRPr="001C332C">
        <w:rPr>
          <w:b/>
        </w:rPr>
        <w:t xml:space="preserve"> II-</w:t>
      </w:r>
      <w:r w:rsidRPr="001C332C">
        <w:t xml:space="preserve"> absorvente de uso interno;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 </w:t>
      </w:r>
      <w:r w:rsidR="001C332C">
        <w:t xml:space="preserve"> </w:t>
      </w:r>
      <w:r w:rsidRPr="001C332C">
        <w:rPr>
          <w:b/>
        </w:rPr>
        <w:t>III-</w:t>
      </w:r>
      <w:r w:rsidRPr="001C332C">
        <w:t xml:space="preserve"> protetor diário;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</w:t>
      </w:r>
      <w:r w:rsidR="001C332C">
        <w:t xml:space="preserve">  </w:t>
      </w:r>
      <w:r w:rsidRPr="001C332C">
        <w:rPr>
          <w:b/>
        </w:rPr>
        <w:t>IV-</w:t>
      </w:r>
      <w:r w:rsidRPr="001C332C">
        <w:t xml:space="preserve"> coletor menstrual;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</w:t>
      </w:r>
      <w:r w:rsidRPr="001C332C">
        <w:rPr>
          <w:b/>
        </w:rPr>
        <w:t>Art. 4°-</w:t>
      </w:r>
      <w:r w:rsidRPr="001C332C">
        <w:t xml:space="preserve"> Para os efeitos desta Lei serão utilizados os indicadores sociais do </w:t>
      </w:r>
      <w:proofErr w:type="spellStart"/>
      <w:proofErr w:type="gramStart"/>
      <w:r w:rsidRPr="001C332C">
        <w:t>lBGE</w:t>
      </w:r>
      <w:proofErr w:type="spellEnd"/>
      <w:proofErr w:type="gramEnd"/>
      <w:r w:rsidRPr="001C332C">
        <w:t xml:space="preserve"> (Instituto Brasileiro de Geografia e Estatística), </w:t>
      </w:r>
      <w:proofErr w:type="spellStart"/>
      <w:r w:rsidRPr="001C332C">
        <w:t>Cad</w:t>
      </w:r>
      <w:proofErr w:type="spellEnd"/>
      <w:r w:rsidRPr="001C332C">
        <w:t xml:space="preserve"> Único e dados disponíveis na Secretaria do Desenvolvimento Social do município, para a definição das mulheres em situação de vulnerabilidade.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rPr>
          <w:b/>
        </w:rPr>
        <w:t xml:space="preserve">              Art. 5º-</w:t>
      </w:r>
      <w:r w:rsidRPr="001C332C">
        <w:t xml:space="preserve"> O Programa de Promoção da Dignidade Menstrual será </w:t>
      </w:r>
      <w:proofErr w:type="gramStart"/>
      <w:r w:rsidRPr="001C332C">
        <w:t>implementado</w:t>
      </w:r>
      <w:proofErr w:type="gramEnd"/>
      <w:r w:rsidRPr="001C332C">
        <w:t xml:space="preserve"> no sentido de conscientizar a administração pública da necessidade de: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 </w:t>
      </w:r>
      <w:proofErr w:type="gramStart"/>
      <w:r w:rsidRPr="001C332C">
        <w:rPr>
          <w:b/>
        </w:rPr>
        <w:t>l</w:t>
      </w:r>
      <w:proofErr w:type="gramEnd"/>
      <w:r w:rsidRPr="001C332C">
        <w:rPr>
          <w:b/>
        </w:rPr>
        <w:t>-</w:t>
      </w:r>
      <w:r w:rsidRPr="001C332C">
        <w:t xml:space="preserve"> disponibilização dos insumos de que trata o art. 3º desta Lei em uma caixa, identificada e acessível, nos seguintes locais: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</w:t>
      </w:r>
      <w:r w:rsidRPr="001C332C">
        <w:rPr>
          <w:b/>
        </w:rPr>
        <w:t>a)</w:t>
      </w:r>
      <w:r w:rsidRPr="001C332C">
        <w:t xml:space="preserve"> serviços da rede de saúde municipal, tais como Unidades Básicas de Saúde (</w:t>
      </w:r>
      <w:proofErr w:type="spellStart"/>
      <w:r w:rsidRPr="001C332C">
        <w:t>UBSs</w:t>
      </w:r>
      <w:proofErr w:type="spellEnd"/>
      <w:r w:rsidRPr="001C332C">
        <w:t>), Unidades de Pronto Atendimento (</w:t>
      </w:r>
      <w:proofErr w:type="spellStart"/>
      <w:proofErr w:type="gramStart"/>
      <w:r w:rsidRPr="001C332C">
        <w:t>UPAs</w:t>
      </w:r>
      <w:proofErr w:type="spellEnd"/>
      <w:proofErr w:type="gramEnd"/>
      <w:r w:rsidRPr="001C332C">
        <w:t>) e hospitais;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rPr>
          <w:b/>
        </w:rPr>
        <w:t xml:space="preserve">                b)</w:t>
      </w:r>
      <w:r w:rsidRPr="001C332C">
        <w:t xml:space="preserve"> Escolas da Rede Municipal de Educação; e serviços da rede de assistência social; </w:t>
      </w:r>
    </w:p>
    <w:p w:rsidR="006C0420" w:rsidRPr="001C332C" w:rsidRDefault="006C0420" w:rsidP="006C0420">
      <w:pPr>
        <w:spacing w:line="276" w:lineRule="auto"/>
        <w:ind w:firstLine="993"/>
        <w:jc w:val="both"/>
      </w:pPr>
      <w:r w:rsidRPr="001C332C">
        <w:rPr>
          <w:b/>
        </w:rPr>
        <w:t>II-</w:t>
      </w:r>
      <w:r w:rsidRPr="001C332C">
        <w:t xml:space="preserve"> incentivo à divulgação do Programa de que trata esta Lei para as possíveis pessoas beneficiárias.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</w:t>
      </w:r>
      <w:r w:rsidRPr="001C332C">
        <w:rPr>
          <w:b/>
        </w:rPr>
        <w:t>Art. 6°-</w:t>
      </w:r>
      <w:r w:rsidRPr="001C332C">
        <w:t xml:space="preserve"> As ações de Promoção da Dignidade Menstrual de que trata esta Lei consistem nas seguintes diretrizes básicas: 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rPr>
          <w:b/>
        </w:rPr>
        <w:t xml:space="preserve">                |-</w:t>
      </w:r>
      <w:r w:rsidRPr="001C332C">
        <w:t xml:space="preserve"> desenvolvimento de ações e articulação entre órgãos públicos, sociedade civil e a iniciativa privada, que visem ao desenvolvimento do pensamento livre de preconceito, em tomo da menstruação: 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  </w:t>
      </w:r>
      <w:r w:rsidRPr="001C332C">
        <w:rPr>
          <w:b/>
        </w:rPr>
        <w:t>II-</w:t>
      </w:r>
      <w:r w:rsidRPr="001C332C">
        <w:t xml:space="preserve"> incentivo a palestras e cursos nos quais a menstruação seja abordada como um processo natural do corpo feminino, com vistas à proteção à saúde da mulher;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  </w:t>
      </w:r>
      <w:r w:rsidR="001C332C">
        <w:t xml:space="preserve">  </w:t>
      </w:r>
      <w:r w:rsidRPr="001C332C">
        <w:rPr>
          <w:b/>
        </w:rPr>
        <w:t>III-</w:t>
      </w:r>
      <w:r w:rsidRPr="001C332C">
        <w:t xml:space="preserve"> elaboração e distribuição de cartilhas e folhetos explicativos qu</w:t>
      </w:r>
      <w:r w:rsidR="001C332C">
        <w:t xml:space="preserve">e abordem o tema da menstruação, </w:t>
      </w:r>
      <w:r w:rsidRPr="001C332C">
        <w:t xml:space="preserve">objetivando ampliar o conhecimento e desmistificar a questão: 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rPr>
          <w:b/>
        </w:rPr>
        <w:t xml:space="preserve">              </w:t>
      </w:r>
      <w:r w:rsidR="001C332C">
        <w:rPr>
          <w:b/>
        </w:rPr>
        <w:t xml:space="preserve">  </w:t>
      </w:r>
      <w:r w:rsidRPr="001C332C">
        <w:rPr>
          <w:b/>
        </w:rPr>
        <w:t>V -</w:t>
      </w:r>
      <w:r w:rsidRPr="001C332C">
        <w:t xml:space="preserve"> autoriza a disponibilização e a distribuição gratuita de absorventes, pelo Poder Público Municipal.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</w:t>
      </w:r>
      <w:r w:rsidRPr="001C332C">
        <w:rPr>
          <w:b/>
        </w:rPr>
        <w:t>Art. 7°-</w:t>
      </w:r>
      <w:r w:rsidRPr="001C332C">
        <w:t xml:space="preserve"> Para a consecução dos objetivos desta Lei, o Executivo Municipal poderá articular parcerias com os demais órgãos integrantes da Administração Pública, sem prejuízo de outras entidades que atuem na erradicação da pobreza menstrual.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</w:t>
      </w:r>
      <w:r w:rsidRPr="001C332C">
        <w:rPr>
          <w:b/>
        </w:rPr>
        <w:t>Art. 8º-</w:t>
      </w:r>
      <w:r w:rsidRPr="001C332C">
        <w:t xml:space="preserve"> A indicação da necessidade da aquisição dos insumos de que trata O art. 3'' desta Lei, refere-se ainda a conscientização quanto ao uso de produtos ecologicamente corretos e sustentáveis.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</w:t>
      </w:r>
      <w:r w:rsidRPr="001C332C">
        <w:rPr>
          <w:b/>
        </w:rPr>
        <w:t>Art. 9º-</w:t>
      </w:r>
      <w:r w:rsidRPr="001C332C">
        <w:t xml:space="preserve"> O presente Programa ratifica a necessidade do atendimento prioritário às mulheres que se encontrem em situação de vulnerabilidade social. 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lastRenderedPageBreak/>
        <w:t xml:space="preserve">           </w:t>
      </w:r>
      <w:r w:rsidRPr="001C332C">
        <w:rPr>
          <w:b/>
        </w:rPr>
        <w:t>Art. 10º-</w:t>
      </w:r>
      <w:r w:rsidRPr="001C332C">
        <w:t xml:space="preserve"> As possíveis despesas decorrentes da execução desta Lei correrão por conta do orçamento do Fundo Municipal de Assistência Social e se necessário do Fundo Municipal de Saúde. </w:t>
      </w:r>
    </w:p>
    <w:p w:rsidR="001C332C" w:rsidRDefault="006C0420" w:rsidP="006C0420">
      <w:pPr>
        <w:spacing w:line="276" w:lineRule="auto"/>
        <w:jc w:val="both"/>
      </w:pPr>
      <w:r w:rsidRPr="001C332C">
        <w:t xml:space="preserve">           </w:t>
      </w:r>
    </w:p>
    <w:p w:rsidR="001C332C" w:rsidRDefault="001C332C" w:rsidP="006C0420">
      <w:pPr>
        <w:spacing w:line="276" w:lineRule="auto"/>
        <w:jc w:val="both"/>
      </w:pPr>
    </w:p>
    <w:p w:rsidR="006C0420" w:rsidRPr="001C332C" w:rsidRDefault="006C0420" w:rsidP="001C332C">
      <w:pPr>
        <w:spacing w:line="276" w:lineRule="auto"/>
        <w:ind w:firstLine="720"/>
        <w:jc w:val="both"/>
      </w:pPr>
      <w:r w:rsidRPr="001C332C">
        <w:rPr>
          <w:b/>
        </w:rPr>
        <w:t>Art. 11º</w:t>
      </w:r>
      <w:r w:rsidRPr="001C332C">
        <w:t>- Esta Lei entra em vigor na data de sua publicação, revogando as disposições em contrário.</w:t>
      </w:r>
    </w:p>
    <w:p w:rsidR="006C0420" w:rsidRPr="001C332C" w:rsidRDefault="006C0420" w:rsidP="006C0420">
      <w:pPr>
        <w:spacing w:line="276" w:lineRule="auto"/>
        <w:jc w:val="both"/>
        <w:rPr>
          <w:b/>
        </w:rPr>
      </w:pPr>
    </w:p>
    <w:p w:rsidR="001C332C" w:rsidRDefault="001C332C" w:rsidP="006C0420">
      <w:pPr>
        <w:spacing w:line="276" w:lineRule="auto"/>
        <w:jc w:val="center"/>
        <w:rPr>
          <w:b/>
        </w:rPr>
      </w:pPr>
    </w:p>
    <w:p w:rsidR="001C332C" w:rsidRDefault="001C332C" w:rsidP="006C0420">
      <w:pPr>
        <w:spacing w:line="276" w:lineRule="auto"/>
        <w:jc w:val="center"/>
        <w:rPr>
          <w:b/>
        </w:rPr>
      </w:pPr>
    </w:p>
    <w:p w:rsidR="001C332C" w:rsidRDefault="001C332C" w:rsidP="001C332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CÂMARA MUNICIPAL DE PALMAS</w:t>
      </w:r>
      <w:r>
        <w:rPr>
          <w:color w:val="000000"/>
        </w:rPr>
        <w:t>, aos 20 dias do mês de outubro de 2021.</w:t>
      </w:r>
    </w:p>
    <w:p w:rsidR="001C332C" w:rsidRDefault="001C332C" w:rsidP="001C332C">
      <w:pPr>
        <w:spacing w:after="240"/>
      </w:pPr>
    </w:p>
    <w:p w:rsidR="00FB537D" w:rsidRDefault="00FB537D" w:rsidP="001C332C">
      <w:pPr>
        <w:spacing w:after="240"/>
      </w:pPr>
    </w:p>
    <w:p w:rsidR="00FB537D" w:rsidRDefault="00FB537D" w:rsidP="001C332C">
      <w:pPr>
        <w:spacing w:after="240"/>
      </w:pPr>
    </w:p>
    <w:p w:rsidR="00E2194F" w:rsidRDefault="00E2194F" w:rsidP="001C332C">
      <w:pPr>
        <w:spacing w:after="240"/>
      </w:pPr>
    </w:p>
    <w:p w:rsidR="001C332C" w:rsidRDefault="001C332C" w:rsidP="001C332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br/>
        <w:t>Júnior Brasão</w:t>
      </w:r>
    </w:p>
    <w:p w:rsidR="001C332C" w:rsidRDefault="001C332C" w:rsidP="001C332C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Vereador – PSB </w:t>
      </w:r>
    </w:p>
    <w:p w:rsidR="001C332C" w:rsidRDefault="001C332C" w:rsidP="006C0420">
      <w:pPr>
        <w:spacing w:line="276" w:lineRule="auto"/>
        <w:jc w:val="center"/>
        <w:rPr>
          <w:b/>
        </w:rPr>
      </w:pPr>
    </w:p>
    <w:p w:rsidR="001C332C" w:rsidRDefault="001C332C" w:rsidP="006C0420">
      <w:pPr>
        <w:spacing w:line="276" w:lineRule="auto"/>
        <w:jc w:val="center"/>
        <w:rPr>
          <w:b/>
        </w:rPr>
      </w:pPr>
    </w:p>
    <w:p w:rsidR="001C332C" w:rsidRDefault="001C332C" w:rsidP="00FB537D">
      <w:pPr>
        <w:spacing w:line="276" w:lineRule="auto"/>
        <w:rPr>
          <w:b/>
        </w:rPr>
      </w:pPr>
    </w:p>
    <w:p w:rsidR="00E2194F" w:rsidRDefault="00E2194F" w:rsidP="00FB537D">
      <w:pPr>
        <w:spacing w:line="276" w:lineRule="auto"/>
        <w:rPr>
          <w:b/>
        </w:rPr>
      </w:pPr>
    </w:p>
    <w:p w:rsidR="00E2194F" w:rsidRDefault="00E2194F" w:rsidP="00FB537D">
      <w:pPr>
        <w:spacing w:line="276" w:lineRule="auto"/>
        <w:rPr>
          <w:b/>
        </w:rPr>
      </w:pPr>
    </w:p>
    <w:p w:rsidR="00E2194F" w:rsidRDefault="00E2194F" w:rsidP="00FB537D">
      <w:pPr>
        <w:spacing w:line="276" w:lineRule="auto"/>
        <w:rPr>
          <w:b/>
        </w:rPr>
      </w:pPr>
    </w:p>
    <w:p w:rsidR="00E2194F" w:rsidRDefault="00E2194F" w:rsidP="00FB537D">
      <w:pPr>
        <w:spacing w:line="276" w:lineRule="auto"/>
        <w:rPr>
          <w:b/>
        </w:rPr>
      </w:pPr>
    </w:p>
    <w:p w:rsidR="00E2194F" w:rsidRDefault="00E2194F" w:rsidP="00FB537D">
      <w:pPr>
        <w:spacing w:line="276" w:lineRule="auto"/>
        <w:rPr>
          <w:b/>
        </w:rPr>
      </w:pPr>
    </w:p>
    <w:p w:rsidR="00E2194F" w:rsidRDefault="00E2194F" w:rsidP="00FB537D">
      <w:pPr>
        <w:spacing w:line="276" w:lineRule="auto"/>
        <w:rPr>
          <w:b/>
        </w:rPr>
      </w:pPr>
    </w:p>
    <w:p w:rsidR="001C332C" w:rsidRDefault="001C332C" w:rsidP="006C0420">
      <w:pPr>
        <w:spacing w:line="276" w:lineRule="auto"/>
        <w:jc w:val="center"/>
        <w:rPr>
          <w:b/>
        </w:rPr>
      </w:pPr>
    </w:p>
    <w:p w:rsidR="006C0420" w:rsidRDefault="006C0420" w:rsidP="006C0420">
      <w:pPr>
        <w:spacing w:line="276" w:lineRule="auto"/>
        <w:jc w:val="center"/>
        <w:rPr>
          <w:b/>
        </w:rPr>
      </w:pPr>
      <w:r w:rsidRPr="001C332C">
        <w:rPr>
          <w:b/>
        </w:rPr>
        <w:t>JUSTIFICATIVA</w:t>
      </w:r>
    </w:p>
    <w:p w:rsidR="00FB537D" w:rsidRDefault="00FB537D" w:rsidP="006C0420">
      <w:pPr>
        <w:spacing w:line="276" w:lineRule="auto"/>
        <w:jc w:val="center"/>
        <w:rPr>
          <w:b/>
        </w:rPr>
      </w:pPr>
    </w:p>
    <w:p w:rsidR="00FB537D" w:rsidRDefault="00FB537D" w:rsidP="006C0420">
      <w:pPr>
        <w:spacing w:line="276" w:lineRule="auto"/>
        <w:jc w:val="center"/>
        <w:rPr>
          <w:b/>
        </w:rPr>
      </w:pPr>
    </w:p>
    <w:p w:rsidR="006C0420" w:rsidRPr="001C332C" w:rsidRDefault="006C0420" w:rsidP="006C0420">
      <w:pPr>
        <w:spacing w:line="276" w:lineRule="auto"/>
        <w:jc w:val="both"/>
        <w:rPr>
          <w:b/>
        </w:rPr>
      </w:pP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  A presente proposição deseja estabelecer um programa de políticas públicas para combater a chamada "pobreza menstrual" e seus problemas derivados. Esse é um programa necessário e prioritário, uma vez que afeta aproximadamente 28% da população do município: de acordo com a projeção populacional do IBGE para 2021. </w:t>
      </w:r>
      <w:proofErr w:type="gramStart"/>
      <w:r w:rsidRPr="001C332C">
        <w:t>o</w:t>
      </w:r>
      <w:proofErr w:type="gramEnd"/>
      <w:r w:rsidRPr="001C332C">
        <w:t xml:space="preserve"> Brasil tem uma população de 57,2 milhões </w:t>
      </w:r>
      <w:r w:rsidR="00E2194F">
        <w:t xml:space="preserve">de </w:t>
      </w:r>
      <w:r w:rsidRPr="001C332C">
        <w:t>meninas e mulheres entre 10 e 49 anos, dentre o</w:t>
      </w:r>
      <w:r w:rsidR="00E2194F">
        <w:t>s 213,3 milhões de brasileiros.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lastRenderedPageBreak/>
        <w:t xml:space="preserve">           A menstruação é um processo natural das pessoas do sexo biológico feminino. No entanto, há muita desinformação sobre esse processo, o que pode colocar as meninas e mulheres em uma situação de vulnerabilidade. Devido à relevância do tema, este vem ganhando espaço no debate público na última década. Em 2014, por exemplo, a Organização das Nações Unidas (ONU</w:t>
      </w:r>
      <w:proofErr w:type="gramStart"/>
      <w:r w:rsidRPr="001C332C">
        <w:t xml:space="preserve"> )</w:t>
      </w:r>
      <w:proofErr w:type="gramEnd"/>
      <w:r w:rsidRPr="001C332C">
        <w:t xml:space="preserve"> reconheceu que o direito das mulheres à higiene menstrual é uma questão de Saúde Pública e de direitos humanos.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Em um contexto de desigualdade de renda que permeia o nosso município, o que é um direito muitas vezes se to</w:t>
      </w:r>
      <w:r w:rsidR="00E2194F">
        <w:t>rna</w:t>
      </w:r>
      <w:r w:rsidRPr="001C332C">
        <w:t xml:space="preserve"> a um luxo. Os ciclos menstruais demandam tempo e dinheiro mensais para seu manejo. Fazendo uma estimativa média do custo, durante um intervalo de 40 anos, </w:t>
      </w:r>
      <w:r w:rsidR="001C332C" w:rsidRPr="001C332C">
        <w:t>as mulheres têm</w:t>
      </w:r>
      <w:r w:rsidRPr="001C332C">
        <w:t xml:space="preserve"> aproximadamente 450 ciclos menstruais. Se considerarmos que são usados 20 absorventes por ciclo e que o custo médio de um absorvente seja igual a </w:t>
      </w:r>
      <w:proofErr w:type="gramStart"/>
      <w:r w:rsidRPr="001C332C">
        <w:t>RS0,</w:t>
      </w:r>
      <w:proofErr w:type="gramEnd"/>
      <w:r w:rsidRPr="001C332C">
        <w:t xml:space="preserve">35, a compra de absorventes ao longo da vida tem um custo mínimo de RS 3.000. De acordo com a PNAD Contínua (IBGE, 2 020), a renda anual dos 5% mais pobres é de RS 1.920. Portanto, as mulheres que se encontram dentro desta faixa de renda precisam trabalhar até </w:t>
      </w:r>
      <w:proofErr w:type="gramStart"/>
      <w:r w:rsidRPr="001C332C">
        <w:t>4</w:t>
      </w:r>
      <w:proofErr w:type="gramEnd"/>
      <w:r w:rsidRPr="001C332C">
        <w:t xml:space="preserve"> anos para custear os absorventes que usarão ao longo da vida. </w:t>
      </w:r>
    </w:p>
    <w:p w:rsidR="006C0420" w:rsidRPr="001C332C" w:rsidRDefault="006C0420" w:rsidP="006C0420">
      <w:pPr>
        <w:spacing w:line="276" w:lineRule="auto"/>
        <w:jc w:val="both"/>
      </w:pPr>
      <w:r w:rsidRPr="001C332C">
        <w:t xml:space="preserve">          Considerando esses gastos. </w:t>
      </w:r>
      <w:proofErr w:type="gramStart"/>
      <w:r w:rsidRPr="001C332C">
        <w:t>a</w:t>
      </w:r>
      <w:proofErr w:type="gramEnd"/>
      <w:r w:rsidRPr="001C332C">
        <w:t xml:space="preserve"> menstruação se torna um fator agravante não só de desigualdade  social mas também um problema de Saúde Pública, à medida que parte das pessoas que menstruam não tem acesso às informações e aos meios devidos de cuidados da saúde e higiene menstrual. </w:t>
      </w:r>
    </w:p>
    <w:p w:rsidR="001C332C" w:rsidRDefault="006C0420" w:rsidP="006C0420">
      <w:pPr>
        <w:spacing w:line="276" w:lineRule="auto"/>
        <w:jc w:val="both"/>
      </w:pPr>
      <w:r w:rsidRPr="001C332C">
        <w:t xml:space="preserve">           Segundo informações apresentadas pela jornalista Giulia </w:t>
      </w:r>
      <w:proofErr w:type="spellStart"/>
      <w:r w:rsidRPr="001C332C">
        <w:t>Granchi</w:t>
      </w:r>
      <w:proofErr w:type="spellEnd"/>
      <w:r w:rsidRPr="001C332C">
        <w:t xml:space="preserve"> na matéria “Jovem de 17 anos cria projeto para doar absorventes a mulheres pobres”, publicada na página Universa/UOL em 07/02/2021: “22% das meninas de 12 a 14 anos</w:t>
      </w:r>
      <w:r w:rsidR="001C332C">
        <w:t>,</w:t>
      </w:r>
      <w:r w:rsidRPr="001C332C">
        <w:t xml:space="preserve"> no </w:t>
      </w:r>
      <w:r w:rsidR="001C332C">
        <w:t xml:space="preserve">Brasil, </w:t>
      </w:r>
      <w:r w:rsidRPr="001C332C">
        <w:t xml:space="preserve">não têm acesso a produtos de higiene adequados durante o período menstrual. A porcentagem sobe para 26% entre as adolescentes de 15 a 17 anos, de acordo com uma pesquisa da marca de </w:t>
      </w:r>
      <w:proofErr w:type="gramStart"/>
      <w:r w:rsidRPr="001C332C">
        <w:t>absorventes Sempre Livre</w:t>
      </w:r>
      <w:proofErr w:type="gramEnd"/>
      <w:r w:rsidRPr="001C332C">
        <w:t xml:space="preserve"> feita em 2018”. Para</w:t>
      </w:r>
      <w:proofErr w:type="gramStart"/>
      <w:r w:rsidR="001C332C" w:rsidRPr="001C332C">
        <w:t xml:space="preserve"> além disso</w:t>
      </w:r>
      <w:proofErr w:type="gramEnd"/>
      <w:r w:rsidRPr="001C332C">
        <w:t>, em nosso país 34% do valor pago em um fardo de absorventes femininos é de impostos federais e estaduais, o que é um absurdo.</w:t>
      </w:r>
    </w:p>
    <w:p w:rsidR="006C0420" w:rsidRPr="001C332C" w:rsidRDefault="006C0420" w:rsidP="001C332C">
      <w:pPr>
        <w:spacing w:line="276" w:lineRule="auto"/>
        <w:ind w:firstLine="720"/>
        <w:jc w:val="both"/>
      </w:pPr>
      <w:r w:rsidRPr="001C332C">
        <w:t xml:space="preserve"> Além da carga mental por não ter condições básicas para menstruar, a pobreza menstrual contribui ainda para aumentar a desigualdade entre homens e mulheres. Como resultado da precariedade menstrual, meninas acabam faltando mais dias na escola durante a menstruação, o que pode prejudicar seu desempenho escolar. As consequências disso a longo prazo são graves, pois com a educação comprometida, a desigualdade entre homens e mulheres no mercado de trabalho se acentua. Dessa forma, as chances dessas meninas quebrarem o ciclo da pobreza e adquirirem autonomia financeira diminuem ainda mais. Como se não bastasse, a própria saúde física dessas meninas e mulheres é colocada em risco. Ao utilizar papéis, jornais, trapos, miolos de pão ou até mesmo reutilizar absorvente descartável, o risco de infecções urinárias e vaginais aumentam consideravelmente.</w:t>
      </w:r>
    </w:p>
    <w:p w:rsidR="008F63FD" w:rsidRPr="001C332C" w:rsidRDefault="006C0420" w:rsidP="001C332C">
      <w:pPr>
        <w:spacing w:line="276" w:lineRule="auto"/>
        <w:jc w:val="both"/>
      </w:pPr>
      <w:r w:rsidRPr="001C332C">
        <w:t xml:space="preserve">          Diante de tudo isso, não há dúvidas de que a menstruação deve ser tratada como uma questão de saúde pública e sendo assim, nossa luta deve ser para que a dignidade menstrual seja um direito garantido a todas as criciumenses. Considerando, portanto, o legítimo interesse público da presente proposição, esperamos contar com o apoio dos senhores vereadores e vereadoras, para que, no uso de sua habitual sabedoria, aprovem o presente projeto de lei que </w:t>
      </w:r>
      <w:r w:rsidRPr="001C332C">
        <w:lastRenderedPageBreak/>
        <w:t>institui e define diretrizes para a Política Pública “Menstruação Sem Tabu” de conscientização sobre a menstruação e a universalização do acesso a absorventes higiênicos.</w:t>
      </w:r>
    </w:p>
    <w:p w:rsidR="008F63FD" w:rsidRDefault="008F63FD" w:rsidP="00E219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C332C" w:rsidRDefault="001C332C" w:rsidP="001C332C">
      <w:pPr>
        <w:spacing w:line="276" w:lineRule="auto"/>
        <w:jc w:val="center"/>
        <w:rPr>
          <w:b/>
        </w:rPr>
      </w:pPr>
    </w:p>
    <w:p w:rsidR="001C332C" w:rsidRDefault="001C332C" w:rsidP="00FB537D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CÂMARA MUNICIPAL DE PALMAS</w:t>
      </w:r>
      <w:r>
        <w:rPr>
          <w:color w:val="000000"/>
        </w:rPr>
        <w:t>, aos 20 dias do mês de outubro de 2021.</w:t>
      </w:r>
    </w:p>
    <w:p w:rsidR="00FB537D" w:rsidRDefault="00FB537D" w:rsidP="00FB537D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B537D" w:rsidRPr="00FB537D" w:rsidRDefault="00FB537D" w:rsidP="00FB537D">
      <w:pPr>
        <w:pStyle w:val="NormalWeb"/>
        <w:spacing w:before="0" w:beforeAutospacing="0" w:after="0" w:afterAutospacing="0"/>
        <w:jc w:val="center"/>
      </w:pPr>
    </w:p>
    <w:p w:rsidR="00E2194F" w:rsidRDefault="00E2194F" w:rsidP="001C332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194F" w:rsidRDefault="00E2194F" w:rsidP="001C332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194F" w:rsidRDefault="00E2194F" w:rsidP="001C332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194F" w:rsidRDefault="00E2194F" w:rsidP="001C332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194F" w:rsidRDefault="00E2194F" w:rsidP="001C332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194F" w:rsidRDefault="00E2194F" w:rsidP="001C332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194F" w:rsidRDefault="00E2194F" w:rsidP="001C332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C332C" w:rsidRDefault="001C332C" w:rsidP="001C332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br/>
        <w:t>Júnior Brasão</w:t>
      </w:r>
    </w:p>
    <w:p w:rsidR="008F63FD" w:rsidRDefault="001C332C" w:rsidP="001C332C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Vereador – PSB </w:t>
      </w:r>
    </w:p>
    <w:sectPr w:rsidR="008F63FD" w:rsidSect="008F63FD">
      <w:headerReference w:type="default" r:id="rId7"/>
      <w:footerReference w:type="default" r:id="rId8"/>
      <w:pgSz w:w="11907" w:h="16839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44" w:rsidRDefault="00E94444" w:rsidP="008F63FD">
      <w:r>
        <w:separator/>
      </w:r>
    </w:p>
  </w:endnote>
  <w:endnote w:type="continuationSeparator" w:id="0">
    <w:p w:rsidR="00E94444" w:rsidRDefault="00E94444" w:rsidP="008F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Lucida Sans Unicode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FD" w:rsidRDefault="008F63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:rsidR="008F63FD" w:rsidRDefault="00336F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5372100" cy="76200"/>
          <wp:effectExtent l="0" t="0" r="0" b="0"/>
          <wp:docPr id="27" name="image1.jpg" descr="timb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63FD" w:rsidRDefault="00336F7B">
    <w:pPr>
      <w:tabs>
        <w:tab w:val="center" w:pos="4252"/>
        <w:tab w:val="right" w:pos="8504"/>
      </w:tabs>
      <w:jc w:val="center"/>
      <w:rPr>
        <w:rFonts w:ascii="Humanst521 BT" w:eastAsia="Humanst521 BT" w:hAnsi="Humanst521 BT" w:cs="Humanst521 BT"/>
        <w:b/>
        <w:color w:val="333399"/>
        <w:sz w:val="14"/>
        <w:szCs w:val="14"/>
      </w:rPr>
    </w:pPr>
    <w:r>
      <w:rPr>
        <w:rFonts w:ascii="Humanst521 BT" w:eastAsia="Humanst521 BT" w:hAnsi="Humanst521 BT" w:cs="Humanst521 BT"/>
        <w:b/>
        <w:color w:val="333399"/>
        <w:sz w:val="14"/>
        <w:szCs w:val="14"/>
      </w:rPr>
      <w:t xml:space="preserve">104 Norte, Avenida LO, 02 Conjunto 01, lote 8-A, Plano Diretor </w:t>
    </w:r>
    <w:proofErr w:type="gramStart"/>
    <w:r>
      <w:rPr>
        <w:rFonts w:ascii="Humanst521 BT" w:eastAsia="Humanst521 BT" w:hAnsi="Humanst521 BT" w:cs="Humanst521 BT"/>
        <w:b/>
        <w:color w:val="333399"/>
        <w:sz w:val="14"/>
        <w:szCs w:val="14"/>
      </w:rPr>
      <w:t>Norte</w:t>
    </w:r>
    <w:proofErr w:type="gramEnd"/>
  </w:p>
  <w:p w:rsidR="008F63FD" w:rsidRDefault="00336F7B">
    <w:pPr>
      <w:tabs>
        <w:tab w:val="center" w:pos="4252"/>
        <w:tab w:val="right" w:pos="8504"/>
      </w:tabs>
      <w:jc w:val="center"/>
      <w:rPr>
        <w:rFonts w:ascii="Humanst521 BT" w:eastAsia="Humanst521 BT" w:hAnsi="Humanst521 BT" w:cs="Humanst521 BT"/>
        <w:b/>
        <w:color w:val="333399"/>
        <w:sz w:val="14"/>
        <w:szCs w:val="14"/>
      </w:rPr>
    </w:pPr>
    <w:r>
      <w:rPr>
        <w:rFonts w:ascii="Humanst521 BT" w:eastAsia="Humanst521 BT" w:hAnsi="Humanst521 BT" w:cs="Humanst521 BT"/>
        <w:b/>
        <w:color w:val="333399"/>
        <w:sz w:val="14"/>
        <w:szCs w:val="14"/>
      </w:rPr>
      <w:t>CEP 77.006-022 - Palmas – Tocantins</w:t>
    </w:r>
  </w:p>
  <w:p w:rsidR="008F63FD" w:rsidRDefault="00336F7B">
    <w:pPr>
      <w:tabs>
        <w:tab w:val="center" w:pos="4252"/>
        <w:tab w:val="right" w:pos="8504"/>
      </w:tabs>
      <w:jc w:val="center"/>
      <w:rPr>
        <w:rFonts w:ascii="Humanst521 BT" w:eastAsia="Humanst521 BT" w:hAnsi="Humanst521 BT" w:cs="Humanst521 BT"/>
        <w:b/>
        <w:color w:val="333399"/>
        <w:sz w:val="14"/>
        <w:szCs w:val="14"/>
      </w:rPr>
    </w:pPr>
    <w:r>
      <w:rPr>
        <w:rFonts w:ascii="Humanst521 BT" w:eastAsia="Humanst521 BT" w:hAnsi="Humanst521 BT" w:cs="Humanst521 BT"/>
        <w:b/>
        <w:color w:val="333399"/>
        <w:sz w:val="14"/>
        <w:szCs w:val="14"/>
      </w:rPr>
      <w:t>Gabinete Vereador Júnior Brasão</w:t>
    </w:r>
    <w:proofErr w:type="gramStart"/>
    <w:r>
      <w:rPr>
        <w:rFonts w:ascii="Humanst521 BT" w:eastAsia="Humanst521 BT" w:hAnsi="Humanst521 BT" w:cs="Humanst521 BT"/>
        <w:b/>
        <w:color w:val="333399"/>
        <w:sz w:val="14"/>
        <w:szCs w:val="14"/>
      </w:rPr>
      <w:t xml:space="preserve">  </w:t>
    </w:r>
  </w:p>
  <w:proofErr w:type="gramEn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44" w:rsidRDefault="00E94444" w:rsidP="008F63FD">
      <w:r>
        <w:separator/>
      </w:r>
    </w:p>
  </w:footnote>
  <w:footnote w:type="continuationSeparator" w:id="0">
    <w:p w:rsidR="00E94444" w:rsidRDefault="00E94444" w:rsidP="008F6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FD" w:rsidRDefault="00FB537D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3723005</wp:posOffset>
          </wp:positionH>
          <wp:positionV relativeFrom="paragraph">
            <wp:posOffset>-360045</wp:posOffset>
          </wp:positionV>
          <wp:extent cx="2330450" cy="1339215"/>
          <wp:effectExtent l="19050" t="0" r="0" b="0"/>
          <wp:wrapSquare wrapText="bothSides" distT="0" distB="0" distL="0" distR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0450" cy="1339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6F7B">
      <w:rPr>
        <w:color w:val="000000"/>
      </w:rPr>
      <w:tab/>
    </w:r>
    <w:r w:rsidR="00336F7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-946782</wp:posOffset>
          </wp:positionH>
          <wp:positionV relativeFrom="paragraph">
            <wp:posOffset>-245742</wp:posOffset>
          </wp:positionV>
          <wp:extent cx="1143000" cy="1095375"/>
          <wp:effectExtent l="0" t="0" r="0" b="0"/>
          <wp:wrapNone/>
          <wp:docPr id="2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63FD" w:rsidRDefault="00336F7B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color w:val="000000"/>
      </w:rPr>
    </w:pPr>
    <w:r>
      <w:rPr>
        <w:b/>
        <w:color w:val="1F497D"/>
      </w:rPr>
      <w:t xml:space="preserve">   </w:t>
    </w:r>
  </w:p>
  <w:p w:rsidR="008F63FD" w:rsidRDefault="00336F7B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b/>
        <w:color w:val="1F497D"/>
        <w:sz w:val="32"/>
        <w:szCs w:val="32"/>
      </w:rPr>
    </w:pPr>
    <w:r>
      <w:rPr>
        <w:b/>
        <w:color w:val="1F497D"/>
      </w:rPr>
      <w:t xml:space="preserve">             </w:t>
    </w:r>
    <w:r>
      <w:rPr>
        <w:b/>
        <w:color w:val="1F497D"/>
        <w:sz w:val="32"/>
        <w:szCs w:val="32"/>
      </w:rPr>
      <w:t>Gabinete do Vereador Júnior Brasão</w:t>
    </w:r>
  </w:p>
  <w:p w:rsidR="008F63FD" w:rsidRDefault="00336F7B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b/>
        <w:color w:val="1F497D"/>
        <w:sz w:val="32"/>
        <w:szCs w:val="32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5372100" cy="76200"/>
          <wp:effectExtent l="0" t="0" r="0" b="0"/>
          <wp:docPr id="26" name="image1.jpg" descr="timb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2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63FD" w:rsidRDefault="008F63FD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b/>
        <w:color w:val="1F497D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F63FD"/>
    <w:rsid w:val="001B1686"/>
    <w:rsid w:val="001C332C"/>
    <w:rsid w:val="00336F7B"/>
    <w:rsid w:val="005174C3"/>
    <w:rsid w:val="006C0420"/>
    <w:rsid w:val="008F63FD"/>
    <w:rsid w:val="00A94564"/>
    <w:rsid w:val="00B1723D"/>
    <w:rsid w:val="00E2194F"/>
    <w:rsid w:val="00E94444"/>
    <w:rsid w:val="00F060F7"/>
    <w:rsid w:val="00FB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53"/>
  </w:style>
  <w:style w:type="paragraph" w:styleId="Ttulo1">
    <w:name w:val="heading 1"/>
    <w:basedOn w:val="Normal1"/>
    <w:next w:val="Normal1"/>
    <w:link w:val="Ttulo1Char"/>
    <w:uiPriority w:val="9"/>
    <w:qFormat/>
    <w:rsid w:val="00A618F2"/>
    <w:pPr>
      <w:keepNext/>
      <w:outlineLvl w:val="0"/>
    </w:pPr>
    <w:rPr>
      <w:rFonts w:ascii="Humanst521 BT" w:eastAsia="Humanst521 BT" w:hAnsi="Humanst521 BT" w:cs="Humanst521 BT"/>
      <w:b/>
      <w:color w:val="00008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A61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A618F2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A618F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A618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A618F2"/>
    <w:pPr>
      <w:keepNext/>
      <w:jc w:val="center"/>
      <w:outlineLvl w:val="5"/>
    </w:pPr>
    <w:rPr>
      <w:b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A58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F63FD"/>
  </w:style>
  <w:style w:type="table" w:customStyle="1" w:styleId="TableNormal">
    <w:name w:val="Table Normal"/>
    <w:rsid w:val="008F63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A618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86439"/>
  </w:style>
  <w:style w:type="table" w:customStyle="1" w:styleId="TableNormal0">
    <w:name w:val="Table Normal"/>
    <w:rsid w:val="00E864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864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618F2"/>
  </w:style>
  <w:style w:type="table" w:customStyle="1" w:styleId="TableNormal2">
    <w:name w:val="Table Normal"/>
    <w:rsid w:val="00A61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8F63F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5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5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35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50D"/>
  </w:style>
  <w:style w:type="paragraph" w:styleId="Rodap">
    <w:name w:val="footer"/>
    <w:basedOn w:val="Normal"/>
    <w:link w:val="RodapChar"/>
    <w:uiPriority w:val="99"/>
    <w:unhideWhenUsed/>
    <w:rsid w:val="00B135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350D"/>
  </w:style>
  <w:style w:type="character" w:styleId="nfase">
    <w:name w:val="Emphasis"/>
    <w:basedOn w:val="Fontepargpadro"/>
    <w:uiPriority w:val="20"/>
    <w:qFormat/>
    <w:rsid w:val="00BB1744"/>
    <w:rPr>
      <w:i/>
      <w:iCs/>
    </w:rPr>
  </w:style>
  <w:style w:type="paragraph" w:styleId="NormalWeb">
    <w:name w:val="Normal (Web)"/>
    <w:basedOn w:val="Normal"/>
    <w:uiPriority w:val="99"/>
    <w:unhideWhenUsed/>
    <w:rsid w:val="002E20C7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B130C9"/>
    <w:rPr>
      <w:rFonts w:ascii="Humanst521 BT" w:eastAsia="Humanst521 BT" w:hAnsi="Humanst521 BT" w:cs="Humanst521 BT"/>
      <w:b/>
      <w:color w:val="000080"/>
    </w:rPr>
  </w:style>
  <w:style w:type="paragraph" w:styleId="SemEspaamento">
    <w:name w:val="No Spacing"/>
    <w:uiPriority w:val="1"/>
    <w:qFormat/>
    <w:rsid w:val="005A58F4"/>
  </w:style>
  <w:style w:type="character" w:customStyle="1" w:styleId="Ttulo7Char">
    <w:name w:val="Título 7 Char"/>
    <w:basedOn w:val="Fontepargpadro"/>
    <w:link w:val="Ttulo7"/>
    <w:uiPriority w:val="9"/>
    <w:rsid w:val="005A5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3E2CBF"/>
    <w:rPr>
      <w:b/>
      <w:bCs/>
    </w:rPr>
  </w:style>
  <w:style w:type="character" w:styleId="Hyperlink">
    <w:name w:val="Hyperlink"/>
    <w:basedOn w:val="Fontepargpadro"/>
    <w:uiPriority w:val="99"/>
    <w:unhideWhenUsed/>
    <w:rsid w:val="003E2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j9PxmRp25IMun80bgpjXWPhDg==">AMUW2mXVY1JH7r5EVX//P7FXC8c6bdEJHptqBs5mXIeuUaUEtNriSJP4gznxcvR0nhigCQ8rp8G/1SEqtC+y6ifd4mlO0DMpSxmox5U70NctxaqWNSf40p1TCwrXpsbrG4A68Tr1eOdO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1465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User</cp:lastModifiedBy>
  <cp:revision>3</cp:revision>
  <dcterms:created xsi:type="dcterms:W3CDTF">2021-10-20T01:55:00Z</dcterms:created>
  <dcterms:modified xsi:type="dcterms:W3CDTF">2021-10-20T02:06:00Z</dcterms:modified>
</cp:coreProperties>
</file>